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21</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R2-2301225</w:t>
      </w:r>
      <w:bookmarkStart w:id="4" w:name="_GoBack"/>
      <w:bookmarkEnd w:id="4"/>
    </w:p>
    <w:p>
      <w:pPr>
        <w:pStyle w:val="37"/>
        <w:textAlignment w:val="center"/>
        <w:rPr>
          <w:rFonts w:hint="default"/>
          <w:bCs/>
          <w:sz w:val="20"/>
          <w:lang w:val="en-US" w:eastAsia="zh-CN"/>
        </w:rPr>
      </w:pPr>
      <w:r>
        <w:rPr>
          <w:rFonts w:hint="eastAsia"/>
          <w:bCs/>
          <w:sz w:val="20"/>
          <w:lang w:eastAsia="zh-CN"/>
        </w:rPr>
        <w:t xml:space="preserve">Athens, February </w:t>
      </w:r>
      <w:r>
        <w:rPr>
          <w:rFonts w:hint="default"/>
          <w:bCs/>
          <w:sz w:val="20"/>
          <w:lang w:val="en-US" w:eastAsia="zh-CN"/>
        </w:rPr>
        <w:t>27</w:t>
      </w:r>
      <w:r>
        <w:rPr>
          <w:rFonts w:hint="eastAsia"/>
          <w:bCs/>
          <w:sz w:val="20"/>
          <w:lang w:eastAsia="zh-CN"/>
        </w:rPr>
        <w:t>th–March</w:t>
      </w:r>
      <w:r>
        <w:rPr>
          <w:rFonts w:hint="default"/>
          <w:bCs/>
          <w:sz w:val="20"/>
          <w:lang w:val="en-US" w:eastAsia="zh-CN"/>
        </w:rPr>
        <w:t xml:space="preserve"> 3rd</w:t>
      </w:r>
      <w:r>
        <w:rPr>
          <w:rFonts w:hint="eastAsia"/>
          <w:bCs/>
          <w:sz w:val="20"/>
          <w:lang w:eastAsia="zh-CN"/>
        </w:rPr>
        <w:t>,</w:t>
      </w:r>
      <w:r>
        <w:rPr>
          <w:bCs/>
          <w:sz w:val="20"/>
          <w:lang w:eastAsia="zh-CN"/>
        </w:rPr>
        <w:t xml:space="preserve"> 202</w:t>
      </w:r>
      <w:r>
        <w:rPr>
          <w:rFonts w:hint="default"/>
          <w:bCs/>
          <w:sz w:val="20"/>
          <w:lang w:val="en-US" w:eastAsia="zh-CN"/>
        </w:rPr>
        <w:t xml:space="preserve">3 </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8.7.4</w:t>
      </w:r>
      <w:r>
        <w:rPr>
          <w:rFonts w:hint="default" w:eastAsia="宋体" w:cs="Arial"/>
          <w:color w:val="000000" w:themeColor="text1"/>
          <w:sz w:val="20"/>
          <w:lang w:val="en-US"/>
          <w14:textFill>
            <w14:solidFill>
              <w14:schemeClr w14:val="tx1"/>
            </w14:solidFill>
          </w14:textFill>
        </w:rPr>
        <w:t>.1.1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 NTN-TN reselection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110"/>
        <w:pBdr>
          <w:top w:val="single" w:color="auto" w:sz="4" w:space="1"/>
          <w:left w:val="single" w:color="auto" w:sz="4" w:space="4"/>
          <w:bottom w:val="single" w:color="auto" w:sz="4" w:space="1"/>
          <w:right w:val="single" w:color="auto" w:sz="4" w:space="4"/>
        </w:pBdr>
        <w:rPr>
          <w:i w:val="0"/>
        </w:rPr>
      </w:pPr>
      <w:r>
        <w:rPr>
          <w:i w:val="0"/>
        </w:rPr>
        <w:t>Agreements:</w:t>
      </w:r>
    </w:p>
    <w:p>
      <w:pPr>
        <w:pStyle w:val="110"/>
        <w:numPr>
          <w:ilvl w:val="0"/>
          <w:numId w:val="11"/>
        </w:numPr>
        <w:pBdr>
          <w:top w:val="single" w:color="auto" w:sz="4" w:space="1"/>
          <w:left w:val="single" w:color="auto" w:sz="4" w:space="4"/>
          <w:bottom w:val="single" w:color="auto" w:sz="4" w:space="1"/>
          <w:right w:val="single" w:color="auto" w:sz="4" w:space="4"/>
        </w:pBdr>
        <w:rPr>
          <w:i w:val="0"/>
        </w:rPr>
      </w:pPr>
      <w:r>
        <w:rPr>
          <w:i w:val="0"/>
        </w:rPr>
        <w:t>RAN2 will first continue the investigation on the details of the TN coverage data (e.g. accuracy requirements for describing where TN network(s) is/are available) and UE storage overhead before deciding how to send the information to the UE.</w:t>
      </w:r>
    </w:p>
    <w:p>
      <w:pPr>
        <w:pStyle w:val="110"/>
        <w:numPr>
          <w:ilvl w:val="0"/>
          <w:numId w:val="11"/>
        </w:numPr>
        <w:pBdr>
          <w:top w:val="single" w:color="auto" w:sz="4" w:space="1"/>
          <w:left w:val="single" w:color="auto" w:sz="4" w:space="4"/>
          <w:bottom w:val="single" w:color="auto" w:sz="4" w:space="1"/>
          <w:right w:val="single" w:color="auto" w:sz="4" w:space="4"/>
        </w:pBdr>
        <w:rPr>
          <w:i w:val="0"/>
        </w:rPr>
      </w:pPr>
      <w:r>
        <w:rPr>
          <w:i w:val="0"/>
        </w:rPr>
        <w:t>Continue the discussion on whether to introduce explicit indication to identify TN cells from inter-frequency list and inter-RAT frequency list (FFS on the granularity) or whether we rely on implicit information.</w:t>
      </w:r>
    </w:p>
    <w:p>
      <w:pPr>
        <w:pStyle w:val="60"/>
        <w:spacing w:after="0"/>
        <w:ind w:left="0" w:firstLine="0"/>
        <w:rPr>
          <w:rFonts w:hint="eastAsia" w:cs="Arial" w:eastAsiaTheme="minorEastAsia"/>
          <w:bCs/>
          <w:color w:val="000000" w:themeColor="text1"/>
          <w:lang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analysi</w:t>
      </w:r>
      <w:r>
        <w:rPr>
          <w:rFonts w:cs="Arial" w:eastAsiaTheme="minorEastAsia"/>
          <w:bCs/>
          <w:color w:val="000000" w:themeColor="text1"/>
          <w:lang w:eastAsia="zh-CN"/>
          <w14:textFill>
            <w14:solidFill>
              <w14:schemeClr w14:val="tx1"/>
            </w14:solidFill>
          </w14:textFill>
        </w:rPr>
        <w:t>s for</w:t>
      </w:r>
      <w:r>
        <w:rPr>
          <w:rFonts w:hint="default" w:cs="Arial" w:eastAsiaTheme="minorEastAsia"/>
          <w:bCs/>
          <w:color w:val="000000" w:themeColor="text1"/>
          <w:lang w:val="en-US" w:eastAsia="zh-CN"/>
          <w14:textFill>
            <w14:solidFill>
              <w14:schemeClr w14:val="tx1"/>
            </w14:solidFill>
          </w14:textFill>
        </w:rPr>
        <w:t xml:space="preserve"> further</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cs="Arial" w:eastAsiaTheme="minorEastAsia"/>
          <w:bCs/>
          <w:color w:val="000000" w:themeColor="text1"/>
          <w:lang w:val="en-US" w:eastAsia="zh-CN"/>
          <w14:textFill>
            <w14:solidFill>
              <w14:schemeClr w14:val="tx1"/>
            </w14:solidFill>
          </w14:textFill>
        </w:rPr>
      </w:pPr>
      <w:bookmarkStart w:id="2" w:name="_Hlk41985036"/>
      <w:r>
        <w:rPr>
          <w:rFonts w:hint="default" w:cs="Arial"/>
          <w:color w:val="000000" w:themeColor="text1"/>
          <w:sz w:val="32"/>
          <w:szCs w:val="32"/>
          <w:lang w:val="en-US"/>
          <w14:textFill>
            <w14:solidFill>
              <w14:schemeClr w14:val="tx1"/>
            </w14:solidFill>
          </w14:textFill>
        </w:rPr>
        <w:t>2.1 Detail TN coverage information</w:t>
      </w:r>
    </w:p>
    <w:p>
      <w:pPr>
        <w:pStyle w:val="60"/>
        <w:spacing w:after="0"/>
        <w:ind w:left="0" w:firstLine="0"/>
        <w:rPr>
          <w:rFonts w:hint="default"/>
          <w:lang w:val="en-US"/>
        </w:rPr>
      </w:pPr>
      <w:r>
        <w:rPr>
          <w:rFonts w:hint="default" w:cs="Arial" w:eastAsiaTheme="minorEastAsia"/>
          <w:bCs/>
          <w:color w:val="000000" w:themeColor="text1"/>
          <w:lang w:val="en-US" w:eastAsia="zh-CN"/>
          <w14:textFill>
            <w14:solidFill>
              <w14:schemeClr w14:val="tx1"/>
            </w14:solidFill>
          </w14:textFill>
        </w:rPr>
        <w:t>T</w:t>
      </w:r>
      <w:r>
        <w:rPr>
          <w:rFonts w:hint="eastAsia" w:cs="Arial" w:eastAsiaTheme="minorEastAsia"/>
          <w:bCs/>
          <w:color w:val="000000" w:themeColor="text1"/>
          <w:highlight w:val="none"/>
          <w:lang w:eastAsia="zh-CN"/>
          <w14:textFill>
            <w14:solidFill>
              <w14:schemeClr w14:val="tx1"/>
            </w14:solidFill>
          </w14:textFill>
        </w:rPr>
        <w:t xml:space="preserve">o </w:t>
      </w:r>
      <w:r>
        <w:rPr>
          <w:rFonts w:hint="default" w:cs="Arial" w:eastAsiaTheme="minorEastAsia"/>
          <w:bCs/>
          <w:color w:val="000000" w:themeColor="text1"/>
          <w:highlight w:val="none"/>
          <w:lang w:val="en-US" w:eastAsia="zh-CN"/>
          <w14:textFill>
            <w14:solidFill>
              <w14:schemeClr w14:val="tx1"/>
            </w14:solidFill>
          </w14:textFill>
        </w:rPr>
        <w:t>reduce</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t>UE power consumption</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highlight w:val="none"/>
          <w:lang w:eastAsia="zh-CN"/>
          <w14:textFill>
            <w14:solidFill>
              <w14:schemeClr w14:val="tx1"/>
            </w14:solidFill>
          </w14:textFill>
        </w:rPr>
        <w:t xml:space="preserve">due to </w:t>
      </w:r>
      <w:r>
        <w:rPr>
          <w:rFonts w:cs="Arial" w:eastAsiaTheme="minorEastAsia"/>
          <w:bCs/>
          <w:color w:val="000000" w:themeColor="text1"/>
          <w:lang w:eastAsia="zh-CN"/>
          <w14:textFill>
            <w14:solidFill>
              <w14:schemeClr w14:val="tx1"/>
            </w14:solidFill>
          </w14:textFill>
        </w:rPr>
        <w:t xml:space="preserve">unnecessary TN neighbor cell </w:t>
      </w:r>
      <w:r>
        <w:rPr>
          <w:rFonts w:hint="eastAsia" w:cs="Arial" w:eastAsiaTheme="minorEastAsia"/>
          <w:bCs/>
          <w:color w:val="000000" w:themeColor="text1"/>
          <w:highlight w:val="none"/>
          <w:lang w:eastAsia="zh-CN"/>
          <w14:textFill>
            <w14:solidFill>
              <w14:schemeClr w14:val="tx1"/>
            </w14:solidFill>
          </w14:textFill>
        </w:rPr>
        <w:t xml:space="preserve">search and </w:t>
      </w:r>
      <w:r>
        <w:rPr>
          <w:rFonts w:cs="Arial" w:eastAsiaTheme="minorEastAsia"/>
          <w:bCs/>
          <w:color w:val="000000" w:themeColor="text1"/>
          <w:lang w:eastAsia="zh-CN"/>
          <w14:textFill>
            <w14:solidFill>
              <w14:schemeClr w14:val="tx1"/>
            </w14:solidFill>
          </w14:textFill>
        </w:rPr>
        <w:t>measurements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beyond</w:t>
      </w:r>
      <w:r>
        <w:rPr>
          <w:rFonts w:hint="eastAsia" w:cs="Arial" w:eastAsiaTheme="minorEastAsia"/>
          <w:bCs/>
          <w:color w:val="000000" w:themeColor="text1"/>
          <w:highlight w:val="none"/>
          <w:lang w:eastAsia="zh-CN"/>
          <w14:textFill>
            <w14:solidFill>
              <w14:schemeClr w14:val="tx1"/>
            </w14:solidFill>
          </w14:textFill>
        </w:rPr>
        <w:t xml:space="preserve"> its reachable </w:t>
      </w:r>
      <w:r>
        <w:rPr>
          <w:rFonts w:cs="Arial" w:eastAsiaTheme="minorEastAsia"/>
          <w:bCs/>
          <w:color w:val="000000" w:themeColor="text1"/>
          <w:lang w:eastAsia="zh-CN"/>
          <w14:textFill>
            <w14:solidFill>
              <w14:schemeClr w14:val="tx1"/>
            </w14:solidFill>
          </w14:textFill>
        </w:rPr>
        <w:t>scope</w:t>
      </w:r>
      <w:r>
        <w:rPr>
          <w:rFonts w:hint="eastAsia" w:cs="Arial" w:eastAsiaTheme="minorEastAsia"/>
          <w:bCs/>
          <w:color w:val="000000" w:themeColor="text1"/>
          <w:highlight w:val="none"/>
          <w:lang w:eastAsia="zh-CN"/>
          <w14:textFill>
            <w14:solidFill>
              <w14:schemeClr w14:val="tx1"/>
            </w14:solidFill>
          </w14:textFill>
        </w:rPr>
        <w:t xml:space="preserve">, </w:t>
      </w:r>
      <w:r>
        <w:rPr>
          <w:rFonts w:hint="default" w:cs="Arial" w:eastAsiaTheme="minorEastAsia"/>
          <w:bCs/>
          <w:color w:val="000000" w:themeColor="text1"/>
          <w:highlight w:val="none"/>
          <w:lang w:val="en-US" w:eastAsia="zh-CN"/>
          <w14:textFill>
            <w14:solidFill>
              <w14:schemeClr w14:val="tx1"/>
            </w14:solidFill>
          </w14:textFill>
        </w:rPr>
        <w:t xml:space="preserve">it is beneficial that </w:t>
      </w:r>
      <w:r>
        <w:rPr>
          <w:rFonts w:hint="eastAsia" w:cs="Arial" w:eastAsiaTheme="minorEastAsia"/>
          <w:bCs/>
          <w:color w:val="000000" w:themeColor="text1"/>
          <w:highlight w:val="none"/>
          <w:lang w:eastAsia="zh-CN"/>
          <w14:textFill>
            <w14:solidFill>
              <w14:schemeClr w14:val="tx1"/>
            </w14:solidFill>
          </w14:textFill>
        </w:rPr>
        <w:t>the network deliver</w:t>
      </w:r>
      <w:r>
        <w:rPr>
          <w:rFonts w:hint="default" w:cs="Arial" w:eastAsiaTheme="minorEastAsia"/>
          <w:bCs/>
          <w:color w:val="000000" w:themeColor="text1"/>
          <w:highlight w:val="none"/>
          <w:lang w:val="en-US" w:eastAsia="zh-CN"/>
          <w14:textFill>
            <w14:solidFill>
              <w14:schemeClr w14:val="tx1"/>
            </w14:solidFill>
          </w14:textFill>
        </w:rPr>
        <w: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 xml:space="preserve">available </w:t>
      </w:r>
      <w:r>
        <w:rPr>
          <w:rFonts w:hint="eastAsia" w:cs="Arial" w:eastAsiaTheme="minorEastAsia"/>
          <w:bCs/>
          <w:color w:val="000000" w:themeColor="text1"/>
          <w:highlight w:val="none"/>
          <w:lang w:eastAsia="zh-CN"/>
          <w14:textFill>
            <w14:solidFill>
              <w14:schemeClr w14:val="tx1"/>
            </w14:solidFill>
          </w14:textFill>
        </w:rPr>
        <w:t>TN neighbor cell information to the UE</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And according to the discussion progress, it is agreed that RAN2 will first continue the investigation on the details of the TN coverage data (e.g. accuracy requirements for describing where TN network(s) is/are available) and UE storage overhead before deciding how to send the information to the UE. However, regarding the assistance information for UE</w:t>
      </w:r>
      <w:r>
        <w:t xml:space="preserve"> to identify an area where TN network is available</w:t>
      </w:r>
      <w:r>
        <w:rPr>
          <w:rFonts w:hint="default"/>
          <w:lang w:val="en-US"/>
        </w:rPr>
        <w:t xml:space="preserve"> is still controversial. In the email discussion [2] in 119bis meeting, there are some options proposed as follows:</w:t>
      </w:r>
    </w:p>
    <w:p>
      <w:pPr>
        <w:pStyle w:val="60"/>
        <w:spacing w:after="0"/>
        <w:ind w:left="0" w:firstLine="0"/>
        <w:rPr>
          <w:rFonts w:hint="default"/>
          <w:b/>
          <w:bCs/>
          <w:i/>
          <w:iCs/>
          <w:lang w:val="en-US"/>
        </w:rPr>
      </w:pPr>
      <w:r>
        <w:rPr>
          <w:rFonts w:hint="default"/>
          <w:b/>
          <w:bCs/>
          <w:lang w:val="en-US"/>
        </w:rPr>
        <w:t>1.</w:t>
      </w:r>
      <w:r>
        <w:rPr>
          <w:rFonts w:hint="default"/>
          <w:b/>
          <w:bCs/>
          <w:lang w:val="en-US"/>
        </w:rPr>
        <w:tab/>
      </w:r>
      <w:r>
        <w:rPr>
          <w:rFonts w:hint="default"/>
          <w:b/>
          <w:bCs/>
          <w:i/>
          <w:iCs/>
          <w:lang w:val="en-US"/>
        </w:rPr>
        <w:t>The cell center and cell radius of TN neighbour cells, or in other terms, the reference location and a distance threshold of TN neighbour cells</w:t>
      </w:r>
    </w:p>
    <w:p>
      <w:pPr>
        <w:pStyle w:val="60"/>
        <w:spacing w:after="0"/>
        <w:ind w:left="0" w:firstLine="0"/>
        <w:rPr>
          <w:rFonts w:hint="default"/>
          <w:b/>
          <w:bCs/>
          <w:i/>
          <w:iCs/>
          <w:lang w:val="en-US"/>
        </w:rPr>
      </w:pPr>
      <w:r>
        <w:rPr>
          <w:rFonts w:hint="default"/>
          <w:b/>
          <w:bCs/>
          <w:i/>
          <w:iCs/>
          <w:lang w:val="en-US"/>
        </w:rPr>
        <w:t>2.</w:t>
      </w:r>
      <w:r>
        <w:rPr>
          <w:rFonts w:hint="default"/>
          <w:b/>
          <w:bCs/>
          <w:i/>
          <w:iCs/>
          <w:lang w:val="en-US"/>
        </w:rPr>
        <w:tab/>
      </w:r>
      <w:r>
        <w:rPr>
          <w:rFonts w:hint="default"/>
          <w:b/>
          <w:bCs/>
          <w:i/>
          <w:iCs/>
          <w:lang w:val="en-US"/>
        </w:rPr>
        <w:t>The boundary line between TN area and NTN area</w:t>
      </w:r>
    </w:p>
    <w:p>
      <w:pPr>
        <w:pStyle w:val="60"/>
        <w:spacing w:after="0"/>
        <w:ind w:left="0" w:firstLine="0"/>
        <w:rPr>
          <w:rFonts w:hint="default"/>
          <w:b/>
          <w:bCs/>
          <w:i/>
          <w:iCs/>
          <w:lang w:val="en-US"/>
        </w:rPr>
      </w:pPr>
      <w:r>
        <w:rPr>
          <w:rFonts w:hint="default"/>
          <w:b/>
          <w:bCs/>
          <w:i/>
          <w:iCs/>
          <w:lang w:val="en-US"/>
        </w:rPr>
        <w:t>3.</w:t>
      </w:r>
      <w:r>
        <w:rPr>
          <w:rFonts w:hint="default"/>
          <w:b/>
          <w:bCs/>
          <w:i/>
          <w:iCs/>
          <w:lang w:val="en-US"/>
        </w:rPr>
        <w:tab/>
      </w:r>
      <w:r>
        <w:rPr>
          <w:rFonts w:hint="default"/>
          <w:b/>
          <w:bCs/>
          <w:i/>
          <w:iCs/>
          <w:lang w:val="en-US"/>
        </w:rPr>
        <w:t>For quasi-earth fixed cells, TN coverage is described by a distance range from the cell center and an angle range based on a reference direction</w:t>
      </w:r>
    </w:p>
    <w:p>
      <w:pPr>
        <w:pStyle w:val="60"/>
        <w:spacing w:after="0"/>
        <w:ind w:left="0" w:firstLine="0"/>
        <w:rPr>
          <w:rFonts w:hint="default"/>
          <w:b/>
          <w:bCs/>
          <w:i/>
          <w:iCs/>
          <w:lang w:val="en-US"/>
        </w:rPr>
      </w:pPr>
      <w:r>
        <w:rPr>
          <w:rFonts w:hint="default"/>
          <w:b/>
          <w:bCs/>
          <w:i/>
          <w:iCs/>
          <w:lang w:val="en-US"/>
        </w:rPr>
        <w:t>4.</w:t>
      </w:r>
      <w:r>
        <w:rPr>
          <w:rFonts w:hint="default"/>
          <w:b/>
          <w:bCs/>
          <w:i/>
          <w:iCs/>
          <w:lang w:val="en-US"/>
        </w:rPr>
        <w:tab/>
      </w:r>
      <w:r>
        <w:rPr>
          <w:rFonts w:hint="default"/>
          <w:b/>
          <w:bCs/>
          <w:i/>
          <w:iCs/>
          <w:lang w:val="en-US"/>
        </w:rPr>
        <w:t>An indication could be included in system information to indicate NTN cell’s coverage overlaps with terrestrial TN cell’s coverage</w:t>
      </w:r>
    </w:p>
    <w:p>
      <w:pPr>
        <w:pStyle w:val="60"/>
        <w:spacing w:after="0"/>
        <w:ind w:left="0" w:firstLine="0"/>
        <w:rPr>
          <w:rFonts w:hint="default"/>
          <w:b/>
          <w:bCs/>
          <w:i/>
          <w:iCs/>
          <w:lang w:val="en-US"/>
        </w:rPr>
      </w:pPr>
      <w:r>
        <w:rPr>
          <w:rFonts w:hint="default"/>
          <w:b/>
          <w:bCs/>
          <w:i/>
          <w:iCs/>
          <w:lang w:val="en-US"/>
        </w:rPr>
        <w:t>5.</w:t>
      </w:r>
      <w:r>
        <w:rPr>
          <w:rFonts w:hint="default"/>
          <w:b/>
          <w:bCs/>
          <w:i/>
          <w:iCs/>
          <w:lang w:val="en-US"/>
        </w:rPr>
        <w:tab/>
      </w:r>
      <w:r>
        <w:rPr>
          <w:rFonts w:hint="default"/>
          <w:b/>
          <w:bCs/>
          <w:i/>
          <w:iCs/>
          <w:lang w:val="en-US"/>
        </w:rPr>
        <w:t>NTN cell can be divided to several virtual areas based on certain criteria. The virtual areas and the corresponding TN frequency information are broadcast as assistance information to help UE perform more accurate TN measurements.</w:t>
      </w:r>
    </w:p>
    <w:p>
      <w:pPr>
        <w:pStyle w:val="60"/>
        <w:spacing w:after="0"/>
        <w:ind w:left="0" w:firstLine="0"/>
        <w:rPr>
          <w:rFonts w:hint="default"/>
          <w:b/>
          <w:bCs/>
          <w:lang w:val="en-US"/>
        </w:rPr>
      </w:pPr>
      <w:r>
        <w:rPr>
          <w:rFonts w:hint="default"/>
          <w:b/>
          <w:bCs/>
          <w:i/>
          <w:iCs/>
          <w:lang w:val="en-US"/>
        </w:rPr>
        <w:t>6.</w:t>
      </w:r>
      <w:r>
        <w:rPr>
          <w:rFonts w:hint="default"/>
          <w:b/>
          <w:bCs/>
          <w:i/>
          <w:iCs/>
          <w:lang w:val="en-US"/>
        </w:rPr>
        <w:tab/>
      </w:r>
      <w:r>
        <w:rPr>
          <w:rFonts w:hint="default"/>
          <w:b/>
          <w:bCs/>
          <w:i/>
          <w:iCs/>
          <w:lang w:val="en-US"/>
        </w:rPr>
        <w:t>Introduce a parameter using the polygon shape captured in TS 23.032 to describe the coverage area of a TN neighbour cell.</w:t>
      </w:r>
    </w:p>
    <w:p>
      <w:pPr>
        <w:pStyle w:val="60"/>
        <w:spacing w:after="0"/>
        <w:ind w:left="0" w:firstLine="0"/>
        <w:rPr>
          <w:rFonts w:hint="default"/>
          <w:lang w:val="en-US" w:eastAsia="zh-CN"/>
        </w:rPr>
      </w:pPr>
      <w:r>
        <w:rPr>
          <w:rFonts w:hint="default"/>
          <w:lang w:val="en-US" w:eastAsia="zh-CN"/>
        </w:rPr>
        <w:t xml:space="preserve">From our perspective, option 1 could be the starting point for discussion. However, the UE does not now the appropriate occasion to perform TN neighbour cells measurement only with the assistance information in option 1. And </w:t>
      </w:r>
      <w:r>
        <w:rPr>
          <w:lang w:val="en-US" w:eastAsia="zh-CN"/>
        </w:rPr>
        <w:t>r</w:t>
      </w:r>
      <w:r>
        <w:rPr>
          <w:lang w:eastAsia="zh-CN"/>
        </w:rPr>
        <w:t>elative position</w:t>
      </w:r>
      <w:r>
        <w:rPr>
          <w:rFonts w:hint="default"/>
          <w:lang w:val="en-US" w:eastAsia="zh-CN"/>
        </w:rPr>
        <w:t xml:space="preserve"> information(e.g. direction and distance to the current NTN serving cell. ) between TN neighbour</w:t>
      </w:r>
      <w:r>
        <w:rPr>
          <w:lang w:eastAsia="zh-CN"/>
        </w:rPr>
        <w:t xml:space="preserve"> </w:t>
      </w:r>
      <w:r>
        <w:rPr>
          <w:rFonts w:hint="default"/>
          <w:lang w:val="en-US" w:eastAsia="zh-CN"/>
        </w:rPr>
        <w:t>cells and</w:t>
      </w:r>
      <w:r>
        <w:rPr>
          <w:lang w:eastAsia="zh-CN"/>
        </w:rPr>
        <w:t xml:space="preserve"> the current NTN </w:t>
      </w:r>
      <w:r>
        <w:rPr>
          <w:rFonts w:hint="default"/>
          <w:lang w:val="en-US" w:eastAsia="zh-CN"/>
        </w:rPr>
        <w:t xml:space="preserve">serving </w:t>
      </w:r>
      <w:r>
        <w:rPr>
          <w:lang w:eastAsia="zh-CN"/>
        </w:rPr>
        <w:t>cell</w:t>
      </w:r>
      <w:r>
        <w:rPr>
          <w:lang w:val="en-US" w:eastAsia="zh-CN"/>
        </w:rPr>
        <w:t xml:space="preserve"> could also be provided</w:t>
      </w:r>
      <w:r>
        <w:rPr>
          <w:rFonts w:hint="default"/>
          <w:lang w:val="en-US" w:eastAsia="zh-CN"/>
        </w:rPr>
        <w:t xml:space="preserve"> to UE </w:t>
      </w:r>
      <w:r>
        <w:rPr>
          <w:rFonts w:hint="default" w:cs="Arial" w:eastAsiaTheme="minorEastAsia"/>
          <w:bCs/>
          <w:color w:val="000000" w:themeColor="text1"/>
          <w:highlight w:val="none"/>
          <w:lang w:val="en-US" w:eastAsia="zh-CN"/>
          <w14:textFill>
            <w14:solidFill>
              <w14:schemeClr w14:val="tx1"/>
            </w14:solidFill>
          </w14:textFill>
        </w:rPr>
        <w:t xml:space="preserve">to help UE </w:t>
      </w:r>
      <w:r>
        <w:rPr>
          <w:rFonts w:hint="default" w:cs="Arial" w:eastAsiaTheme="minorEastAsia"/>
          <w:bCs/>
          <w:color w:val="000000" w:themeColor="text1"/>
          <w:lang w:val="en-US" w:eastAsia="zh-CN"/>
          <w14:textFill>
            <w14:solidFill>
              <w14:schemeClr w14:val="tx1"/>
            </w14:solidFill>
          </w14:textFill>
        </w:rPr>
        <w:t xml:space="preserve">choose a suitable TN </w:t>
      </w:r>
      <w:r>
        <w:rPr>
          <w:rFonts w:hint="eastAsia" w:cs="Arial" w:eastAsiaTheme="minorEastAsia"/>
          <w:bCs/>
          <w:color w:val="000000" w:themeColor="text1"/>
          <w:highlight w:val="none"/>
          <w:lang w:eastAsia="zh-CN"/>
          <w14:textFill>
            <w14:solidFill>
              <w14:schemeClr w14:val="tx1"/>
            </w14:solidFill>
          </w14:textFill>
        </w:rPr>
        <w:t>neighbor cell</w:t>
      </w:r>
      <w:r>
        <w:rPr>
          <w:rFonts w:hint="default"/>
          <w:lang w:val="en-US" w:eastAsia="zh-CN"/>
        </w:rPr>
        <w:t xml:space="preserve">. </w:t>
      </w:r>
    </w:p>
    <w:p>
      <w:pPr>
        <w:pStyle w:val="60"/>
        <w:spacing w:after="0"/>
        <w:ind w:left="0" w:firstLine="0"/>
        <w:rPr>
          <w:rFonts w:hint="default"/>
          <w:b/>
          <w:bCs w:val="0"/>
          <w:lang w:val="en-US"/>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val="0"/>
          <w:color w:val="000000" w:themeColor="text1"/>
          <w:lang w:val="en-US" w:eastAsia="zh-CN"/>
          <w14:textFill>
            <w14:solidFill>
              <w14:schemeClr w14:val="tx1"/>
            </w14:solidFill>
          </w14:textFill>
        </w:rPr>
        <w:t>Regarding the assistance information for UE</w:t>
      </w:r>
      <w:r>
        <w:rPr>
          <w:b/>
          <w:bCs w:val="0"/>
        </w:rPr>
        <w:t xml:space="preserve"> to identify an area where TN network is available</w:t>
      </w:r>
      <w:r>
        <w:rPr>
          <w:rFonts w:hint="default"/>
          <w:b/>
          <w:bCs w:val="0"/>
          <w:lang w:val="en-US"/>
        </w:rPr>
        <w:t>, option 1(</w:t>
      </w:r>
      <w:r>
        <w:rPr>
          <w:rFonts w:hint="default"/>
          <w:b/>
          <w:bCs/>
          <w:i/>
          <w:iCs/>
          <w:lang w:val="en-US"/>
        </w:rPr>
        <w:t>The cell center and cell radius of TN neighbour cells, or in other terms, the reference location and a distance threshold of TN neighbour cells</w:t>
      </w:r>
      <w:r>
        <w:rPr>
          <w:rFonts w:hint="default"/>
          <w:b/>
          <w:bCs w:val="0"/>
          <w:lang w:val="en-US"/>
        </w:rPr>
        <w:t>) could be the starting point for discussion.</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 xml:space="preserve">In addition to option 1, relative position information(e.g. direction and distance to the current NTN serving cell. ) between TN neighbour cells and the current NTN serving cell could also be provided to UE to help UE choose suitable a TN neighbor cell. </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eastAsia" w:eastAsiaTheme="minorEastAsia"/>
          <w:color w:val="000000" w:themeColor="text1"/>
          <w:lang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2.2 </w:t>
      </w:r>
      <w:r>
        <w:rPr>
          <w:i w:val="0"/>
        </w:rPr>
        <w:t>UE storage overhead</w:t>
      </w:r>
    </w:p>
    <w:p>
      <w:pPr>
        <w:pStyle w:val="60"/>
        <w:spacing w:after="0"/>
        <w:ind w:left="0" w:firstLine="0"/>
        <w:rPr>
          <w:rFonts w:hint="default" w:eastAsiaTheme="minorEastAsia"/>
          <w:color w:val="000000" w:themeColor="text1"/>
          <w:lang w:val="en-US" w:eastAsia="zh-CN"/>
          <w14:textFill>
            <w14:solidFill>
              <w14:schemeClr w14:val="tx1"/>
            </w14:solidFill>
          </w14:textFill>
        </w:rPr>
      </w:pPr>
      <w:r>
        <w:rPr>
          <w:rFonts w:hint="default" w:eastAsiaTheme="minorEastAsia"/>
          <w:color w:val="000000" w:themeColor="text1"/>
          <w:lang w:val="en-US" w:eastAsia="zh-CN"/>
          <w14:textFill>
            <w14:solidFill>
              <w14:schemeClr w14:val="tx1"/>
            </w14:solidFill>
          </w14:textFill>
        </w:rPr>
        <w:t xml:space="preserve">For the </w:t>
      </w:r>
      <w:r>
        <w:rPr>
          <w:i w:val="0"/>
        </w:rPr>
        <w:t>UE storage overhead</w:t>
      </w:r>
      <w:r>
        <w:rPr>
          <w:rFonts w:hint="default"/>
          <w:i w:val="0"/>
          <w:lang w:val="en-US"/>
        </w:rPr>
        <w:t>, with the proper assistance information about TN neighbour cells, UE could be able to avoid some TN neighbour cells measurements. And UE just need to focus on limited information. Therefore, there may not be large amounts of data at UE side without storage problem.</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 .</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Theme="minorEastAsia"/>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2.3 </w:t>
      </w:r>
      <w:r>
        <w:rPr>
          <w:rFonts w:hint="default"/>
          <w:i w:val="0"/>
          <w:lang w:val="en-US"/>
        </w:rPr>
        <w:t>Cell type indication</w:t>
      </w:r>
    </w:p>
    <w:p>
      <w:pPr>
        <w:pStyle w:val="60"/>
        <w:spacing w:after="0"/>
        <w:ind w:left="0" w:firstLine="0"/>
        <w:rPr>
          <w:rFonts w:hint="default"/>
          <w:lang w:val="en-US"/>
        </w:rPr>
      </w:pPr>
      <w:r>
        <w:rPr>
          <w:rFonts w:hint="default" w:eastAsiaTheme="minorEastAsia"/>
          <w:color w:val="000000" w:themeColor="text1"/>
          <w:lang w:val="en-US" w:eastAsia="zh-CN"/>
          <w14:textFill>
            <w14:solidFill>
              <w14:schemeClr w14:val="tx1"/>
            </w14:solidFill>
          </w14:textFill>
        </w:rPr>
        <w:t>Then another issue, whether to introduce explicit indication to identify TN cells from inter-frequency list and inter-RAT frequency list (FFS on the granularity) or whether we rely on implicit information. In fact, we have discussed this issue in R17 many times, and i</w:t>
      </w:r>
      <w:r>
        <w:rPr>
          <w:rFonts w:hint="default"/>
          <w:lang w:val="en-US"/>
        </w:rPr>
        <w:t xml:space="preserve">n the email discussion [2] in 119bis meeting, there is also a slight majority view to derive the cell type information implicitly. For example, with the ephemeris or other NTN-specific assistance information in SIB, it is not difficult to deduce the cell type is NTN or TN. Even though HAPS may have same band number with TN as some companies indicated, considering HAPS also needs to provide NW information like satellite ephemeris, it is possible to implicitly judge the network type. </w:t>
      </w:r>
    </w:p>
    <w:p>
      <w:pPr>
        <w:pStyle w:val="60"/>
        <w:spacing w:after="0"/>
        <w:ind w:left="0" w:firstLine="0"/>
        <w:rPr>
          <w:rFonts w:hint="default"/>
          <w:lang w:val="en-US" w:eastAsia="zh-CN"/>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4</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It is sufficient to derive the cell type(i.e. “TN” vs “NTN”) implicitly based on the existing NW assistance information.</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eastAsiaTheme="minorEastAsia"/>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hint="default"/>
          <w:b/>
          <w:bCs w:val="0"/>
          <w:lang w:val="en-US"/>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val="0"/>
          <w:color w:val="000000" w:themeColor="text1"/>
          <w:lang w:val="en-US" w:eastAsia="zh-CN"/>
          <w14:textFill>
            <w14:solidFill>
              <w14:schemeClr w14:val="tx1"/>
            </w14:solidFill>
          </w14:textFill>
        </w:rPr>
        <w:t>Regarding the assistance information for UE</w:t>
      </w:r>
      <w:r>
        <w:rPr>
          <w:b/>
          <w:bCs w:val="0"/>
        </w:rPr>
        <w:t xml:space="preserve"> to identify an area where TN network is available</w:t>
      </w:r>
      <w:r>
        <w:rPr>
          <w:rFonts w:hint="default"/>
          <w:b/>
          <w:bCs w:val="0"/>
          <w:lang w:val="en-US"/>
        </w:rPr>
        <w:t>, option 1(</w:t>
      </w:r>
      <w:r>
        <w:rPr>
          <w:rFonts w:hint="default"/>
          <w:b/>
          <w:bCs/>
          <w:i/>
          <w:iCs/>
          <w:lang w:val="en-US"/>
        </w:rPr>
        <w:t>The cell center and cell radius of TN neighbour cells, or in other terms, the reference location and a distance threshold of TN neighbour cells</w:t>
      </w:r>
      <w:r>
        <w:rPr>
          <w:rFonts w:hint="default"/>
          <w:b/>
          <w:bCs w:val="0"/>
          <w:lang w:val="en-US"/>
        </w:rPr>
        <w:t>) could be the starting point for discussion.</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 xml:space="preserve">In addition to option 1, relative position information(e.g. direction and distance to the current NTN serving cell. ) between TN neighbour cells and the current NTN serving cell could also be provided to UE to help UE choose suitable a TN neighbor cell. </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 .</w:t>
      </w:r>
    </w:p>
    <w:p>
      <w:pPr>
        <w:pStyle w:val="60"/>
        <w:spacing w:after="0"/>
        <w:ind w:left="0" w:firstLine="0"/>
        <w:rPr>
          <w:rFonts w:cs="Arial" w:eastAsiaTheme="minorEastAsia"/>
          <w:b/>
          <w:bCs/>
          <w:color w:val="000000" w:themeColor="text1"/>
          <w:highlight w:val="none"/>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4</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It is sufficient to derive the cell type(i.e. “TN” vs “NTN”) implicitly based on the existing NW assistance information.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R2-2213001 - Report from Break-out session on NR-NTN, IoT-NTN, RedCap and CE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R2-2210860 Report of [AT119bis-e][117][NR NTN Enh] cell reselection enhancements (Intel)</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6757D48"/>
    <w:multiLevelType w:val="multilevel"/>
    <w:tmpl w:val="56757D4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8"/>
  </w:num>
  <w:num w:numId="10">
    <w:abstractNumId w:val="11"/>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744528"/>
    <w:rsid w:val="03A11802"/>
    <w:rsid w:val="03F47F88"/>
    <w:rsid w:val="048A5003"/>
    <w:rsid w:val="04B403C6"/>
    <w:rsid w:val="04F50E2F"/>
    <w:rsid w:val="0556040B"/>
    <w:rsid w:val="05606A49"/>
    <w:rsid w:val="05983EBC"/>
    <w:rsid w:val="06261BBF"/>
    <w:rsid w:val="0654248D"/>
    <w:rsid w:val="078C1F33"/>
    <w:rsid w:val="07B959B1"/>
    <w:rsid w:val="07EF7893"/>
    <w:rsid w:val="080725BF"/>
    <w:rsid w:val="083F0917"/>
    <w:rsid w:val="08AF444E"/>
    <w:rsid w:val="08C72F36"/>
    <w:rsid w:val="09133D3D"/>
    <w:rsid w:val="096334FA"/>
    <w:rsid w:val="09D41BD9"/>
    <w:rsid w:val="0A9740DA"/>
    <w:rsid w:val="0ACC0F45"/>
    <w:rsid w:val="0B095C10"/>
    <w:rsid w:val="0B197012"/>
    <w:rsid w:val="0B277F39"/>
    <w:rsid w:val="0B4A1814"/>
    <w:rsid w:val="0BC4632C"/>
    <w:rsid w:val="0BD60B5C"/>
    <w:rsid w:val="0C604758"/>
    <w:rsid w:val="0CAE5B2E"/>
    <w:rsid w:val="0CDE4BE3"/>
    <w:rsid w:val="0D524167"/>
    <w:rsid w:val="0D681ED9"/>
    <w:rsid w:val="0DDB664A"/>
    <w:rsid w:val="0DF15A6B"/>
    <w:rsid w:val="0E553A6B"/>
    <w:rsid w:val="0E8665F6"/>
    <w:rsid w:val="0EC152B6"/>
    <w:rsid w:val="0EC440FF"/>
    <w:rsid w:val="0F581B52"/>
    <w:rsid w:val="0F731FAE"/>
    <w:rsid w:val="0FCC0A5A"/>
    <w:rsid w:val="0FE0018D"/>
    <w:rsid w:val="0FF61F41"/>
    <w:rsid w:val="10221AC0"/>
    <w:rsid w:val="11043CD0"/>
    <w:rsid w:val="110F10D1"/>
    <w:rsid w:val="11B82D63"/>
    <w:rsid w:val="11C5063A"/>
    <w:rsid w:val="11E2632C"/>
    <w:rsid w:val="12BA7EC6"/>
    <w:rsid w:val="12C4018F"/>
    <w:rsid w:val="13116F0E"/>
    <w:rsid w:val="134A0035"/>
    <w:rsid w:val="135C7F4F"/>
    <w:rsid w:val="13784D5C"/>
    <w:rsid w:val="13DE7A54"/>
    <w:rsid w:val="141B1C76"/>
    <w:rsid w:val="14945B6F"/>
    <w:rsid w:val="149A45BB"/>
    <w:rsid w:val="14A20FFB"/>
    <w:rsid w:val="153372CB"/>
    <w:rsid w:val="15431B89"/>
    <w:rsid w:val="157C7625"/>
    <w:rsid w:val="16563130"/>
    <w:rsid w:val="165D26B6"/>
    <w:rsid w:val="169343E9"/>
    <w:rsid w:val="1795675B"/>
    <w:rsid w:val="180E362D"/>
    <w:rsid w:val="182C1162"/>
    <w:rsid w:val="18B9619D"/>
    <w:rsid w:val="191242AE"/>
    <w:rsid w:val="1A184B78"/>
    <w:rsid w:val="1A330485"/>
    <w:rsid w:val="1A6F62AB"/>
    <w:rsid w:val="1A955970"/>
    <w:rsid w:val="1AEF5DBD"/>
    <w:rsid w:val="1B423649"/>
    <w:rsid w:val="1BA24967"/>
    <w:rsid w:val="1BD63413"/>
    <w:rsid w:val="1BD95F94"/>
    <w:rsid w:val="1BDA5141"/>
    <w:rsid w:val="1C3D1CD0"/>
    <w:rsid w:val="1C5E7298"/>
    <w:rsid w:val="1CC119D3"/>
    <w:rsid w:val="1D102BCE"/>
    <w:rsid w:val="1DA17A2E"/>
    <w:rsid w:val="1DDD518B"/>
    <w:rsid w:val="1E3072B7"/>
    <w:rsid w:val="1E403C53"/>
    <w:rsid w:val="1E481727"/>
    <w:rsid w:val="1E851282"/>
    <w:rsid w:val="1E8757C6"/>
    <w:rsid w:val="1EAA6DF5"/>
    <w:rsid w:val="1F734328"/>
    <w:rsid w:val="1FA11974"/>
    <w:rsid w:val="20203DE8"/>
    <w:rsid w:val="2031215C"/>
    <w:rsid w:val="20955704"/>
    <w:rsid w:val="20DB7C51"/>
    <w:rsid w:val="20E9518E"/>
    <w:rsid w:val="20F12FA1"/>
    <w:rsid w:val="211313D4"/>
    <w:rsid w:val="21D77282"/>
    <w:rsid w:val="21DF0F8F"/>
    <w:rsid w:val="21ED415F"/>
    <w:rsid w:val="21F105D4"/>
    <w:rsid w:val="21F86645"/>
    <w:rsid w:val="22C7596B"/>
    <w:rsid w:val="24085D2A"/>
    <w:rsid w:val="245B6D34"/>
    <w:rsid w:val="2467469A"/>
    <w:rsid w:val="24937CAA"/>
    <w:rsid w:val="24B82068"/>
    <w:rsid w:val="24E10292"/>
    <w:rsid w:val="25043CC9"/>
    <w:rsid w:val="25056D91"/>
    <w:rsid w:val="260A3B09"/>
    <w:rsid w:val="262E3D44"/>
    <w:rsid w:val="27115A22"/>
    <w:rsid w:val="27606908"/>
    <w:rsid w:val="27840467"/>
    <w:rsid w:val="27D314AB"/>
    <w:rsid w:val="27FE2D3E"/>
    <w:rsid w:val="2809471B"/>
    <w:rsid w:val="285478B9"/>
    <w:rsid w:val="29423CBE"/>
    <w:rsid w:val="29CD3FA9"/>
    <w:rsid w:val="2A455191"/>
    <w:rsid w:val="2AC82235"/>
    <w:rsid w:val="2B083F92"/>
    <w:rsid w:val="2B4C42DE"/>
    <w:rsid w:val="2B542A45"/>
    <w:rsid w:val="2B5F5BD2"/>
    <w:rsid w:val="2BE54292"/>
    <w:rsid w:val="2C1B670D"/>
    <w:rsid w:val="2C2A3B12"/>
    <w:rsid w:val="2CF51ED1"/>
    <w:rsid w:val="2CFA23BD"/>
    <w:rsid w:val="2D5923F4"/>
    <w:rsid w:val="2DB6192E"/>
    <w:rsid w:val="2DEF7093"/>
    <w:rsid w:val="2DF36570"/>
    <w:rsid w:val="2E946C1E"/>
    <w:rsid w:val="2EAE16B2"/>
    <w:rsid w:val="2EB775B3"/>
    <w:rsid w:val="2EE85B84"/>
    <w:rsid w:val="301E4A69"/>
    <w:rsid w:val="305F6E24"/>
    <w:rsid w:val="30946552"/>
    <w:rsid w:val="311B2E7F"/>
    <w:rsid w:val="3142695E"/>
    <w:rsid w:val="319D3380"/>
    <w:rsid w:val="31AE180F"/>
    <w:rsid w:val="31C777AC"/>
    <w:rsid w:val="32101BFA"/>
    <w:rsid w:val="327E592B"/>
    <w:rsid w:val="32A942B0"/>
    <w:rsid w:val="32F13120"/>
    <w:rsid w:val="333663A2"/>
    <w:rsid w:val="33E26367"/>
    <w:rsid w:val="33F614DE"/>
    <w:rsid w:val="346D3EBD"/>
    <w:rsid w:val="34914DCA"/>
    <w:rsid w:val="34D20AC7"/>
    <w:rsid w:val="34F55F88"/>
    <w:rsid w:val="35AC0B91"/>
    <w:rsid w:val="35AC5558"/>
    <w:rsid w:val="35E81533"/>
    <w:rsid w:val="361C2353"/>
    <w:rsid w:val="3635547B"/>
    <w:rsid w:val="36746B61"/>
    <w:rsid w:val="36A9407C"/>
    <w:rsid w:val="36FA1D41"/>
    <w:rsid w:val="373838A6"/>
    <w:rsid w:val="376D3348"/>
    <w:rsid w:val="37C2178A"/>
    <w:rsid w:val="37D57FF5"/>
    <w:rsid w:val="3829480D"/>
    <w:rsid w:val="383529C2"/>
    <w:rsid w:val="383C5BD0"/>
    <w:rsid w:val="388727CC"/>
    <w:rsid w:val="39024B57"/>
    <w:rsid w:val="39282EA2"/>
    <w:rsid w:val="39FC64D0"/>
    <w:rsid w:val="3A06167E"/>
    <w:rsid w:val="3A6F42D5"/>
    <w:rsid w:val="3A82293D"/>
    <w:rsid w:val="3A9E2AD9"/>
    <w:rsid w:val="3BA7658A"/>
    <w:rsid w:val="3C8926DB"/>
    <w:rsid w:val="3D956B18"/>
    <w:rsid w:val="3D966C01"/>
    <w:rsid w:val="3DA51E2F"/>
    <w:rsid w:val="3DB43891"/>
    <w:rsid w:val="3F191D76"/>
    <w:rsid w:val="40325295"/>
    <w:rsid w:val="40F82E28"/>
    <w:rsid w:val="41585AC3"/>
    <w:rsid w:val="41B34CCB"/>
    <w:rsid w:val="41C576A3"/>
    <w:rsid w:val="41FD2634"/>
    <w:rsid w:val="420610DF"/>
    <w:rsid w:val="423E4C42"/>
    <w:rsid w:val="428507B0"/>
    <w:rsid w:val="429544E1"/>
    <w:rsid w:val="42CE6929"/>
    <w:rsid w:val="42F71CEC"/>
    <w:rsid w:val="435062FE"/>
    <w:rsid w:val="443B107F"/>
    <w:rsid w:val="449E617D"/>
    <w:rsid w:val="44B14540"/>
    <w:rsid w:val="44BA7E1E"/>
    <w:rsid w:val="44BE79C3"/>
    <w:rsid w:val="44F05BC3"/>
    <w:rsid w:val="45CA31DA"/>
    <w:rsid w:val="45E509B9"/>
    <w:rsid w:val="45EC6821"/>
    <w:rsid w:val="45F303D0"/>
    <w:rsid w:val="460F2E21"/>
    <w:rsid w:val="46175C2C"/>
    <w:rsid w:val="464004CF"/>
    <w:rsid w:val="46B51FCF"/>
    <w:rsid w:val="46BA0199"/>
    <w:rsid w:val="47062A9A"/>
    <w:rsid w:val="47464FBB"/>
    <w:rsid w:val="47993F84"/>
    <w:rsid w:val="480A17DC"/>
    <w:rsid w:val="482C507C"/>
    <w:rsid w:val="484E1C04"/>
    <w:rsid w:val="48564F2E"/>
    <w:rsid w:val="48690AF5"/>
    <w:rsid w:val="49655FF0"/>
    <w:rsid w:val="4A284A82"/>
    <w:rsid w:val="4A662E1D"/>
    <w:rsid w:val="4A7E32B4"/>
    <w:rsid w:val="4AB75B88"/>
    <w:rsid w:val="4B1367B9"/>
    <w:rsid w:val="4B316DE7"/>
    <w:rsid w:val="4B887A7E"/>
    <w:rsid w:val="4B9408CA"/>
    <w:rsid w:val="4C24278C"/>
    <w:rsid w:val="4C353BC7"/>
    <w:rsid w:val="4C5D54D6"/>
    <w:rsid w:val="4C814518"/>
    <w:rsid w:val="4C91315E"/>
    <w:rsid w:val="4CAD0872"/>
    <w:rsid w:val="4CCE50CA"/>
    <w:rsid w:val="4CF719D4"/>
    <w:rsid w:val="4D594475"/>
    <w:rsid w:val="4DB06342"/>
    <w:rsid w:val="4DEC01C6"/>
    <w:rsid w:val="4DF158ED"/>
    <w:rsid w:val="4E4D0205"/>
    <w:rsid w:val="4E846939"/>
    <w:rsid w:val="4E871374"/>
    <w:rsid w:val="4EC83A06"/>
    <w:rsid w:val="4F2C3853"/>
    <w:rsid w:val="4F7F20AA"/>
    <w:rsid w:val="4F873909"/>
    <w:rsid w:val="4FF617D6"/>
    <w:rsid w:val="506B2DFC"/>
    <w:rsid w:val="50853D5B"/>
    <w:rsid w:val="50E64646"/>
    <w:rsid w:val="516A6684"/>
    <w:rsid w:val="518C6DB2"/>
    <w:rsid w:val="51E261D3"/>
    <w:rsid w:val="51FE4105"/>
    <w:rsid w:val="51FE7585"/>
    <w:rsid w:val="53322A76"/>
    <w:rsid w:val="53C54AA3"/>
    <w:rsid w:val="546B361A"/>
    <w:rsid w:val="54A648D1"/>
    <w:rsid w:val="54E44ED6"/>
    <w:rsid w:val="55571991"/>
    <w:rsid w:val="556A1864"/>
    <w:rsid w:val="55C6076E"/>
    <w:rsid w:val="55F509A9"/>
    <w:rsid w:val="581B2429"/>
    <w:rsid w:val="58F72495"/>
    <w:rsid w:val="592E540E"/>
    <w:rsid w:val="59620232"/>
    <w:rsid w:val="598D15AD"/>
    <w:rsid w:val="59A00F56"/>
    <w:rsid w:val="59B24039"/>
    <w:rsid w:val="5A31005C"/>
    <w:rsid w:val="5B8D1AC1"/>
    <w:rsid w:val="5BA3592C"/>
    <w:rsid w:val="5C610721"/>
    <w:rsid w:val="5C7615A0"/>
    <w:rsid w:val="5C9556C8"/>
    <w:rsid w:val="5CFE4143"/>
    <w:rsid w:val="5DDE5D84"/>
    <w:rsid w:val="5E204AD7"/>
    <w:rsid w:val="5E6D4BC0"/>
    <w:rsid w:val="5ED151CF"/>
    <w:rsid w:val="5F232783"/>
    <w:rsid w:val="5F3E69CE"/>
    <w:rsid w:val="6009519E"/>
    <w:rsid w:val="60291B4C"/>
    <w:rsid w:val="60373428"/>
    <w:rsid w:val="60AD5F5F"/>
    <w:rsid w:val="60B64CF0"/>
    <w:rsid w:val="60E30438"/>
    <w:rsid w:val="612D3C7B"/>
    <w:rsid w:val="614C7842"/>
    <w:rsid w:val="61826F89"/>
    <w:rsid w:val="622B3B50"/>
    <w:rsid w:val="622C7E43"/>
    <w:rsid w:val="6289482D"/>
    <w:rsid w:val="62E70A4E"/>
    <w:rsid w:val="632C6FC4"/>
    <w:rsid w:val="634B3FF6"/>
    <w:rsid w:val="64460ECC"/>
    <w:rsid w:val="644F5E22"/>
    <w:rsid w:val="649F242C"/>
    <w:rsid w:val="64D843A5"/>
    <w:rsid w:val="65BE6626"/>
    <w:rsid w:val="663B46C9"/>
    <w:rsid w:val="663F30CF"/>
    <w:rsid w:val="67117DA9"/>
    <w:rsid w:val="67413BF6"/>
    <w:rsid w:val="67D27C62"/>
    <w:rsid w:val="67DF6978"/>
    <w:rsid w:val="68074EB7"/>
    <w:rsid w:val="683D458E"/>
    <w:rsid w:val="684A4064"/>
    <w:rsid w:val="692869C3"/>
    <w:rsid w:val="694E04D2"/>
    <w:rsid w:val="698044A5"/>
    <w:rsid w:val="6A510F7A"/>
    <w:rsid w:val="6AA67E64"/>
    <w:rsid w:val="6AD96913"/>
    <w:rsid w:val="6B0D712F"/>
    <w:rsid w:val="6B28575B"/>
    <w:rsid w:val="6B5917AB"/>
    <w:rsid w:val="6B986C21"/>
    <w:rsid w:val="6C3B431E"/>
    <w:rsid w:val="6C5333DB"/>
    <w:rsid w:val="6C857DA8"/>
    <w:rsid w:val="6C87465D"/>
    <w:rsid w:val="6CC1587C"/>
    <w:rsid w:val="6D2B74AA"/>
    <w:rsid w:val="6E280F38"/>
    <w:rsid w:val="6E8A21F7"/>
    <w:rsid w:val="6F2867BD"/>
    <w:rsid w:val="6F44559B"/>
    <w:rsid w:val="6F8B6967"/>
    <w:rsid w:val="6FAC0134"/>
    <w:rsid w:val="703A2630"/>
    <w:rsid w:val="709C594C"/>
    <w:rsid w:val="71376C0A"/>
    <w:rsid w:val="71D05F49"/>
    <w:rsid w:val="727E3A54"/>
    <w:rsid w:val="72AA359B"/>
    <w:rsid w:val="72B12123"/>
    <w:rsid w:val="72BA547D"/>
    <w:rsid w:val="733D5C3B"/>
    <w:rsid w:val="739C0220"/>
    <w:rsid w:val="73F82EA2"/>
    <w:rsid w:val="7435596C"/>
    <w:rsid w:val="74722C9A"/>
    <w:rsid w:val="747E452E"/>
    <w:rsid w:val="74FA5A4A"/>
    <w:rsid w:val="755E4E24"/>
    <w:rsid w:val="755F161D"/>
    <w:rsid w:val="75884210"/>
    <w:rsid w:val="75BD4A84"/>
    <w:rsid w:val="75EA7003"/>
    <w:rsid w:val="760D56E2"/>
    <w:rsid w:val="76EE218C"/>
    <w:rsid w:val="772E0B03"/>
    <w:rsid w:val="77833E7F"/>
    <w:rsid w:val="778A542A"/>
    <w:rsid w:val="77C177F8"/>
    <w:rsid w:val="77EF5E51"/>
    <w:rsid w:val="7820430F"/>
    <w:rsid w:val="79332F0B"/>
    <w:rsid w:val="79C11BD2"/>
    <w:rsid w:val="79E8078D"/>
    <w:rsid w:val="7A3422EE"/>
    <w:rsid w:val="7A4774F3"/>
    <w:rsid w:val="7A933BB6"/>
    <w:rsid w:val="7AA678C6"/>
    <w:rsid w:val="7AB73377"/>
    <w:rsid w:val="7B113087"/>
    <w:rsid w:val="7B9E2E7D"/>
    <w:rsid w:val="7C050B07"/>
    <w:rsid w:val="7C9E7A01"/>
    <w:rsid w:val="7D1A2F44"/>
    <w:rsid w:val="7D2E186E"/>
    <w:rsid w:val="7D8F4D8B"/>
    <w:rsid w:val="7DD14D63"/>
    <w:rsid w:val="7E0773D0"/>
    <w:rsid w:val="7E5D66DD"/>
    <w:rsid w:val="7E620E1C"/>
    <w:rsid w:val="7E734104"/>
    <w:rsid w:val="7EEE5FCC"/>
    <w:rsid w:val="7F2E279D"/>
    <w:rsid w:val="7F977549"/>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0</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2023-02-17T06:16:57Z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0B8B5F61EEDF42D0A23A7ADC6167D65E</vt:lpwstr>
  </property>
</Properties>
</file>